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1"/>
        <w:gridCol w:w="5178"/>
      </w:tblGrid>
      <w:tr w:rsidR="00DD4BF5" w:rsidRPr="00DD4BF5">
        <w:trPr>
          <w:tblCellSpacing w:w="0" w:type="dxa"/>
        </w:trPr>
        <w:tc>
          <w:tcPr>
            <w:tcW w:w="0" w:type="auto"/>
            <w:hideMark/>
          </w:tcPr>
          <w:p w:rsidR="00DD4BF5" w:rsidRPr="00DD4BF5" w:rsidRDefault="00BE3EDC" w:rsidP="00DD4BF5">
            <w:pPr>
              <w:ind w:left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fldChar w:fldCharType="begin"/>
            </w:r>
            <w:r>
              <w:instrText>HYPERLINK "mailto:nordsky@yandex.ru"</w:instrText>
            </w:r>
            <w:r>
              <w:fldChar w:fldCharType="separate"/>
            </w:r>
            <w:r w:rsidR="00DD4BF5" w:rsidRPr="00DD4BF5">
              <w:rPr>
                <w:rFonts w:ascii="Book Antiqua" w:eastAsia="Times New Roman" w:hAnsi="Book Antiqua" w:cs="Times New Roman"/>
                <w:color w:val="8E8070"/>
                <w:sz w:val="20"/>
                <w:lang w:val="ru-RU" w:eastAsia="ru-RU" w:bidi="ar-SA"/>
              </w:rPr>
              <w:t>Дмитрий Данилов</w:t>
            </w:r>
            <w:r>
              <w:fldChar w:fldCharType="end"/>
            </w:r>
            <w:r w:rsidR="00DD4BF5" w:rsidRPr="00DD4BF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ru-RU" w:eastAsia="ru-RU" w:bidi="ar-SA"/>
              </w:rPr>
              <w:br/>
            </w:r>
            <w:r w:rsidR="00DD4BF5" w:rsidRPr="00DD4BF5">
              <w:rPr>
                <w:rFonts w:eastAsia="Times New Roman" w:cs="Times New Roman"/>
                <w:color w:val="44392E"/>
                <w:sz w:val="14"/>
                <w:szCs w:val="14"/>
                <w:lang w:val="ru-RU" w:eastAsia="ru-RU" w:bidi="ar-SA"/>
              </w:rPr>
              <w:t>7 ноября 2007 г.</w:t>
            </w:r>
          </w:p>
        </w:tc>
        <w:tc>
          <w:tcPr>
            <w:tcW w:w="0" w:type="auto"/>
            <w:hideMark/>
          </w:tcPr>
          <w:p w:rsidR="00DD4BF5" w:rsidRPr="00DD4BF5" w:rsidRDefault="00BE3EDC" w:rsidP="00DD4BF5">
            <w:pPr>
              <w:ind w:left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ru-RU" w:eastAsia="ru-RU" w:bidi="ar-SA"/>
              </w:rPr>
            </w:pPr>
            <w:hyperlink r:id="rId7" w:tgtFrame="_blank" w:history="1">
              <w:r w:rsidR="00DD4BF5">
                <w:rPr>
                  <w:rFonts w:ascii="Book Antiqua" w:eastAsia="Times New Roman" w:hAnsi="Book Antiqua" w:cs="Times New Roman"/>
                  <w:noProof/>
                  <w:color w:val="8E8070"/>
                  <w:sz w:val="20"/>
                  <w:szCs w:val="20"/>
                  <w:lang w:val="ru-RU" w:eastAsia="ru-RU" w:bidi="ar-SA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" name="Рисунок 1" descr="http://www.pravaya.ru/img/print.gif">
                      <a:hlinkClick xmlns:a="http://schemas.openxmlformats.org/drawingml/2006/main" r:id="rId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pravaya.ru/img/print.gif">
                              <a:hlinkClick r:id="rId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D4BF5" w:rsidRPr="00DD4BF5">
                <w:rPr>
                  <w:rFonts w:ascii="Book Antiqua" w:eastAsia="Times New Roman" w:hAnsi="Book Antiqua" w:cs="Times New Roman"/>
                  <w:color w:val="8E8070"/>
                  <w:sz w:val="20"/>
                  <w:lang w:val="ru-RU" w:eastAsia="ru-RU" w:bidi="ar-SA"/>
                </w:rPr>
                <w:t>версия для печати</w:t>
              </w:r>
            </w:hyperlink>
          </w:p>
        </w:tc>
      </w:tr>
    </w:tbl>
    <w:p w:rsidR="00DD4BF5" w:rsidRPr="00DD4BF5" w:rsidRDefault="00DD4BF5" w:rsidP="00DD4BF5">
      <w:pPr>
        <w:spacing w:before="100" w:after="100"/>
        <w:ind w:left="100" w:right="100" w:firstLine="300"/>
        <w:rPr>
          <w:rFonts w:ascii="Verdana" w:eastAsia="Times New Roman" w:hAnsi="Verdana" w:cs="Times New Roman"/>
          <w:b/>
          <w:bCs/>
          <w:color w:val="333333"/>
          <w:sz w:val="22"/>
          <w:lang w:val="ru-RU" w:eastAsia="ru-RU" w:bidi="ar-SA"/>
        </w:rPr>
      </w:pPr>
      <w:r w:rsidRPr="00DD4BF5">
        <w:rPr>
          <w:rFonts w:ascii="Verdana" w:eastAsia="Times New Roman" w:hAnsi="Verdana" w:cs="Times New Roman"/>
          <w:b/>
          <w:bCs/>
          <w:caps/>
          <w:color w:val="333333"/>
          <w:sz w:val="22"/>
          <w:lang w:val="ru-RU" w:eastAsia="ru-RU" w:bidi="ar-SA"/>
        </w:rPr>
        <w:t>Октябрь, которого не было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D4BF5" w:rsidRPr="00DD4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BF5" w:rsidRPr="00DD4BF5" w:rsidRDefault="00DD4BF5" w:rsidP="00DD4BF5">
            <w:pPr>
              <w:ind w:left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 xml:space="preserve">Зимний дворец никто не </w:t>
      </w:r>
      <w:proofErr w:type="gramStart"/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>хотел</w:t>
      </w:r>
      <w:proofErr w:type="gramEnd"/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 xml:space="preserve"> не только защищать, но и нападать на него. Показательна фр</w:t>
      </w: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>а</w:t>
      </w: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 xml:space="preserve">за момента смены Временного правительства: «Наши договорились с вашими». Фильм </w:t>
      </w:r>
      <w:r w:rsidRPr="00DD4BF5">
        <w:rPr>
          <w:rFonts w:ascii="Book Antiqua" w:eastAsia="Times New Roman" w:hAnsi="Book Antiqua" w:cs="Times New Roman"/>
          <w:b/>
          <w:bCs/>
          <w:i/>
          <w:iCs/>
          <w:color w:val="000000"/>
          <w:sz w:val="22"/>
          <w:lang w:val="ru-RU" w:eastAsia="ru-RU" w:bidi="ar-SA"/>
        </w:rPr>
        <w:t xml:space="preserve">«Штурм </w:t>
      </w:r>
      <w:proofErr w:type="gramStart"/>
      <w:r w:rsidRPr="00DD4BF5">
        <w:rPr>
          <w:rFonts w:ascii="Book Antiqua" w:eastAsia="Times New Roman" w:hAnsi="Book Antiqua" w:cs="Times New Roman"/>
          <w:b/>
          <w:bCs/>
          <w:i/>
          <w:iCs/>
          <w:color w:val="000000"/>
          <w:sz w:val="22"/>
          <w:lang w:val="ru-RU" w:eastAsia="ru-RU" w:bidi="ar-SA"/>
        </w:rPr>
        <w:t>Зимнего</w:t>
      </w:r>
      <w:proofErr w:type="gramEnd"/>
      <w:r w:rsidRPr="00DD4BF5">
        <w:rPr>
          <w:rFonts w:ascii="Book Antiqua" w:eastAsia="Times New Roman" w:hAnsi="Book Antiqua" w:cs="Times New Roman"/>
          <w:b/>
          <w:bCs/>
          <w:i/>
          <w:iCs/>
          <w:color w:val="000000"/>
          <w:sz w:val="22"/>
          <w:lang w:val="ru-RU" w:eastAsia="ru-RU" w:bidi="ar-SA"/>
        </w:rPr>
        <w:t>. Опровержение»</w:t>
      </w: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 xml:space="preserve"> ставит вопрос: где же корни того явления, известного нам как Фе</w:t>
      </w: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>в</w:t>
      </w:r>
      <w:r w:rsidRPr="00DD4BF5">
        <w:rPr>
          <w:rFonts w:ascii="Book Antiqua" w:eastAsia="Times New Roman" w:hAnsi="Book Antiqua" w:cs="Times New Roman"/>
          <w:i/>
          <w:iCs/>
          <w:color w:val="000000"/>
          <w:sz w:val="22"/>
          <w:lang w:val="ru-RU" w:eastAsia="ru-RU" w:bidi="ar-SA"/>
        </w:rPr>
        <w:t>раль-Октябрь?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>
        <w:rPr>
          <w:rFonts w:ascii="Book Antiqua" w:eastAsia="Times New Roman" w:hAnsi="Book Antiqua" w:cs="Times New Roman"/>
          <w:noProof/>
          <w:color w:val="000000"/>
          <w:sz w:val="22"/>
          <w:lang w:val="ru-RU" w:eastAsia="ru-RU" w:bidi="ar-SA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90725"/>
            <wp:effectExtent l="19050" t="0" r="0" b="0"/>
            <wp:wrapSquare wrapText="bothSides"/>
            <wp:docPr id="2" name="Рисунок 2" descr="http://www.pravaya.ru/files/14212/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aya.ru/files/14212/re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5 ноября в эфире телеканала «Россия» был показан документальный фильм Елены Ча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чавадзе и Галины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Огурной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</w:t>
      </w:r>
      <w:hyperlink r:id="rId10" w:history="1">
        <w:r w:rsidRPr="00DD4BF5">
          <w:rPr>
            <w:rFonts w:ascii="Book Antiqua" w:eastAsia="Times New Roman" w:hAnsi="Book Antiqua" w:cs="Times New Roman"/>
            <w:color w:val="8E8070"/>
            <w:sz w:val="22"/>
            <w:lang w:val="ru-RU" w:eastAsia="ru-RU" w:bidi="ar-SA"/>
          </w:rPr>
          <w:t>«Штурм Зимнего. Опровержение»</w:t>
        </w:r>
      </w:hyperlink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. Впервые в нем были прив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дены свидетельства, подтверждающие, что как Февраль, так и Октябрь были двумя ча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с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тями одной органической смуты. Более того, эти части очень тесно взаимодействовали друг с другом.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Этот документальный фильм продолжает традицию, начатую сенсационным фильмом «Троцкий. Тайна мировой революции», п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казанного 23 февраля 2007 года в эфире телеканала «Россия», руководство которого в лице Олега Добродеева подарило всей стране неожиданный сюрприз своим мужеством начать, наконец, называть вещи своими именами. Причем эта традиция носит характер необх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димой терапии жестокой правдой, основанной на документальном подтверждении ка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ж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дой догадки, каждого слова или предположения. Неудивительно, что «Троцкий» сразу же вызвал дикую истерику и вопли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либеральных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псевдоисториков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а-ля недоучки Эдварда Радзинского, которым, впрочем, противопоставить голой правде было нечего. Посмотрим, какие вопли у «интеллигентной общественности» вызовет новый фильм.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Фильм «Штурм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Зимнего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. Опровержение» утверждает, что не только октябрьской рев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люции, но и даже октябрьского переворота на самом деле не было. Любопытно, что когда в 1927 году Сергей Эйзенштейн снимал свой эпохальный «Октябрь», ему пришлось отк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заться от съемок в самом Зимнем дворце и снимать в специально построенных декорац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ях, потому что его узкие лестницы просто физически не вмещали революционно настр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енные толпы с пулеметами и прочую массовку «восстания», которого де-факто не было. Согласитесь, что это кое о чем говорит.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Зимний дворец, как оказалось, никто не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хотел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не только защищать, но и нападать на него.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Охрана Зимнего состояла только из женского добровольческого батальона под к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мандованием Марии Бочкаревой (как тут не вспомнить строчку из Маяковского про «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бо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ч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каревских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дур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») и курсантов.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Зимний взял отряд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большевисткого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«спецназа», прошедший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в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дворец через черный ход и без труда разоруживший его охрану. Исторический холостой выстрел «Авроры» — никакой не сигнал к вооруженному восстанию, а предупреждение для кольца внешней обороны Зимнего, которое огрызалось из своих орудий, отвечая на пулеметные очереди красных.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Но Троцкий, бывший к тому времени председателем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Петросовета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, не был сторонником вооруженного переворота, пока на авансцене не появился прибывший из ссылки Ленин. Здесь-то и начинается самое интересное. Почему Троцкий, который семи признавался на тот момент лидером революции, уступил свое место Ленину и подчинился ему? Ведь по воспоминаниям подруги Н.К. Крупской, Ленина 25 октября не хотели пускать в Смол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ь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ный. Совершенно очевидно, что «вождя» здесь не особенно ждали и Троцкий не хотел д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литься лаврами первого лица большевистской революции.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lastRenderedPageBreak/>
        <w:t xml:space="preserve">Фильм раскрывает тайну успеха Ленина, внезапно возникшего в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Итории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в самой гуще событий, хотя он отсутствовал в России 10 лет. Оказывается, вместе с Лениным пришли диверсионные отряды финно-прусских батальонов, специально подготовленных и 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т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лично вооруженных. Эти отряды возникли как следствие политики канцлера Германии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Бетмана-Гольвега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, обещавшего еще в 1905 году финским националистам независимость, если они выступят против России. Десятки лет в самой свободной части Российской имп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рии ковалась сепаратистская сила,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которая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в конце концов была брошена по указке «внешнего центра» на революцию в России. Таким образом, авторы фильма делают 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ы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вод, что «ударная сила» октябрьской революции ковалась не в России, а в Финляндии. К октябрю 1917 года революционные центры находились не только в Петрограде, но и в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Гельсингфорсе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и Кронштадте. Любопытно, что активность финско-прусских диверсантов, пришедших на помощь Ленину, сопровождалась зверскими убийствами русских морских офицеров.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Вообще, роль этого самого «внешнего центра» с появлением новых документов и св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детельств оказывается все более странной. Согласно документам, поднятым историками из Национального архива Франции, Керенский в свое время предупредил Ленина о гр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зящем тому аресте в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июле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и Ленин благополучно скрылся в Германии. С Керенским по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держивал отношения и Троцкий. Странным образом, он объявил Временное правительс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т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во низложенным еще до того, как это реально произошло.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Интересно также и свидетельство о том, что на момент октябрьской революции еди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ственной силой, способной оказать серьезное сопротивление большевикам были казаки. Несмотря на то, что большинство из них были недовольны Керенским, они готовы были встать на защиту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Зимнего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и разогнать «всю эту сволочь». По некоторым данным, для этого было достаточно всего лишь двух казачьих сотен. Что же делает власть, в смысле Кере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ский? Он намеренно запрещает проведение традиционного казачьего крестного хода 4 ноября, приуроченного к празднику Казанской Божией матери. После этого о казачьей угрозе можно было забыть.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Зачем же это надо было Керенскому? Ответ прост – по взаимной договоренности с большевиками. Любопытна активность помощников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генерала-губернатора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Петрограда Кишкина – Петра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Пальчинского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и Пинхаса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Рутенберга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. Оба принимали активное участие в революции 19905-1907 гг. Но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Рутенберг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, кстати, известен тем, что именно он был одним из организаторов русской революции 1905 года и шел во главе процессии рабочих во вр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мя "кровавого воскресенья". Этот же человек организовал убийство попа Гапона. Позже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Рутенберг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был одним из организаторов Американского Еврейского Конгресса. О его по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линных связях с масонскими кругами и англосаксонским финансовым капиталом мы только начинаем узнавать.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Однако всего показательнее фраза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Пальчинского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, когда в комнату заседаний Време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ного правительства ворвались красные: «Наши договорились с вашими». Этим объясняе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т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ся многое, если не все.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Собственно, фильм «Штурм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Зимнего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. Опровержение» не столько развевает миф о «массах», пышущих «революционным гневом», свергающих очередной бессильный «ст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рый мир», сколько ставит новые вопросы. И один из таких вопросов можно озвучить так: где корни того явления, известного нам как Февраль-Октябрь? Почему бунт двух полков после искусственно организованных сбоев в поставке хлеба в Петроград, вызвал в феврале 1917 года «эффект домино», приведший к крушению монархии и слому всей старой Ро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с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сии, которая еще тремя годами ранее казалась неприступной? Почему так получилось, что власть в стране стало можно легко переформатировать с помощью одной мелкой д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и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версионной вылазки в одном большом здании? В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общем-то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основные сенсации фильма говорят даже не про то, насколько оказались вовлечены западные разведки, мировые м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сонские круги и крупный финансовый капитал в революцию в России, а про то, почему все это могло произойти вообще.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lastRenderedPageBreak/>
        <w:t xml:space="preserve">Тезис о том, что революция была якобы «неизбежной», что «низы не хотели, а верхи не могли», равно как и тезис, что все сделала мировая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закулиса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, были бы в поиске ответа на эти вопросы неверны. Корни революции надо начинать искать не в 1917 году, когда большинству русских людей просто оставило равнодушным сам факт, что с определенн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го дня у них больше нет царя, а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гораздо раньше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. Следует их искать тогда, когда внутре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нее и внешнее наполнение общества становится окончательно суверенным по отношению к тем устоям и токам, которые питают их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цивилизационный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каркас. Есть мнение, что 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волюция 1917 года реализовала первый в истории по-настоящему активный потенциал т.н. «сетевого общества», в котором все вертикальные иерархические связи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диссоцииров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а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ны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в миллионы личных микрокосмов, связанных друг с другом только сугубо горизо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н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тальным восприятием приоритетов собственного быта и частных интересов. Иными сл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о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вами, Октябрь не мог появиться, пока нечто общее, то, что всегда было Россией, не </w:t>
      </w:r>
      <w:proofErr w:type="spell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пр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рватилось</w:t>
      </w:r>
      <w:proofErr w:type="spell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в небытие еще до революционных событий 1917 года. Октябрь стал самым р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е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альным проявлением сгустившихся в мрачную историческую гравитацию энергий неб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ы</w:t>
      </w: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тия страны. Неудивительно, что он начался с события, которого фактически не было. </w:t>
      </w:r>
    </w:p>
    <w:p w:rsidR="00DD4BF5" w:rsidRPr="00DD4BF5" w:rsidRDefault="00DD4BF5" w:rsidP="00DD4BF5">
      <w:pPr>
        <w:spacing w:before="100" w:after="100"/>
        <w:ind w:left="100" w:right="100" w:firstLine="300"/>
        <w:jc w:val="both"/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</w:pPr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Иногда возникает такое ощущение, что фильм «Штурм Зимнего. Опровержение» и его февральский предшественник </w:t>
      </w:r>
      <w:proofErr w:type="gramStart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>сняты</w:t>
      </w:r>
      <w:proofErr w:type="gramEnd"/>
      <w:r w:rsidRPr="00DD4BF5">
        <w:rPr>
          <w:rFonts w:ascii="Book Antiqua" w:eastAsia="Times New Roman" w:hAnsi="Book Antiqua" w:cs="Times New Roman"/>
          <w:color w:val="000000"/>
          <w:sz w:val="22"/>
          <w:lang w:val="ru-RU" w:eastAsia="ru-RU" w:bidi="ar-SA"/>
        </w:rPr>
        <w:t xml:space="preserve"> не про наше прошлое, а про наше будущее. Если, не дай Бог, мы не выучим, наконец, главный урок своей собственной истории. </w:t>
      </w:r>
    </w:p>
    <w:p w:rsidR="00835FE9" w:rsidRDefault="00DE5F9F" w:rsidP="003D6081">
      <w:pPr>
        <w:rPr>
          <w:lang w:val="ru-RU"/>
        </w:rPr>
      </w:pPr>
      <w:hyperlink r:id="rId11" w:history="1">
        <w:r w:rsidRPr="00B1472A">
          <w:rPr>
            <w:rStyle w:val="af4"/>
            <w:sz w:val="28"/>
            <w:szCs w:val="22"/>
            <w:lang w:val="ru-RU"/>
          </w:rPr>
          <w:t>http://www.pravaya.ru/idea/18/14212</w:t>
        </w:r>
      </w:hyperlink>
    </w:p>
    <w:p w:rsidR="00DE5F9F" w:rsidRPr="00DE5F9F" w:rsidRDefault="00DE5F9F" w:rsidP="003D6081">
      <w:pPr>
        <w:rPr>
          <w:lang w:val="ru-RU"/>
        </w:rPr>
      </w:pPr>
    </w:p>
    <w:sectPr w:rsidR="00DE5F9F" w:rsidRPr="00DE5F9F" w:rsidSect="00D72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F5" w:rsidRDefault="00DD4BF5" w:rsidP="00023EC3">
      <w:r>
        <w:separator/>
      </w:r>
    </w:p>
  </w:endnote>
  <w:endnote w:type="continuationSeparator" w:id="1">
    <w:p w:rsidR="00DD4BF5" w:rsidRDefault="00DD4BF5" w:rsidP="0002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39" w:rsidRDefault="009C103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39" w:rsidRDefault="009C103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39" w:rsidRDefault="009C103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F5" w:rsidRDefault="00DD4BF5" w:rsidP="00023EC3">
      <w:r>
        <w:separator/>
      </w:r>
    </w:p>
  </w:footnote>
  <w:footnote w:type="continuationSeparator" w:id="1">
    <w:p w:rsidR="00DD4BF5" w:rsidRDefault="00DD4BF5" w:rsidP="0002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39" w:rsidRDefault="009C103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6956"/>
      <w:docPartObj>
        <w:docPartGallery w:val="Page Numbers (Top of Page)"/>
        <w:docPartUnique/>
      </w:docPartObj>
    </w:sdtPr>
    <w:sdtContent>
      <w:p w:rsidR="00023EC3" w:rsidRDefault="00BE3EDC">
        <w:pPr>
          <w:pStyle w:val="af5"/>
        </w:pPr>
        <w:fldSimple w:instr=" PAGE   \* MERGEFORMAT ">
          <w:r w:rsidR="00DE5F9F">
            <w:rPr>
              <w:noProof/>
            </w:rPr>
            <w:t>3</w:t>
          </w:r>
        </w:fldSimple>
      </w:p>
    </w:sdtContent>
  </w:sdt>
  <w:p w:rsidR="00023EC3" w:rsidRDefault="00023EC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39" w:rsidRDefault="009C103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A88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2C2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2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1A8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6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C7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66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6E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5A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5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3468B"/>
    <w:multiLevelType w:val="hybridMultilevel"/>
    <w:tmpl w:val="7C0C40C0"/>
    <w:lvl w:ilvl="0" w:tplc="BF908A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4910"/>
    <w:multiLevelType w:val="hybridMultilevel"/>
    <w:tmpl w:val="507C3B54"/>
    <w:lvl w:ilvl="0" w:tplc="2CBC91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AC3"/>
    <w:multiLevelType w:val="multilevel"/>
    <w:tmpl w:val="A71A17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24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DC"/>
    <w:rsid w:val="00023EC3"/>
    <w:rsid w:val="00085450"/>
    <w:rsid w:val="000B46E0"/>
    <w:rsid w:val="000D4197"/>
    <w:rsid w:val="000D4952"/>
    <w:rsid w:val="000D6035"/>
    <w:rsid w:val="000F1DD3"/>
    <w:rsid w:val="00123D96"/>
    <w:rsid w:val="00162027"/>
    <w:rsid w:val="001844D0"/>
    <w:rsid w:val="00185E94"/>
    <w:rsid w:val="00214515"/>
    <w:rsid w:val="0021581F"/>
    <w:rsid w:val="00232746"/>
    <w:rsid w:val="0027654A"/>
    <w:rsid w:val="0028249D"/>
    <w:rsid w:val="00291DB7"/>
    <w:rsid w:val="002A3472"/>
    <w:rsid w:val="002B2971"/>
    <w:rsid w:val="00322E11"/>
    <w:rsid w:val="0032324E"/>
    <w:rsid w:val="00361E5E"/>
    <w:rsid w:val="00362926"/>
    <w:rsid w:val="003A1637"/>
    <w:rsid w:val="003A1ECE"/>
    <w:rsid w:val="003B6849"/>
    <w:rsid w:val="003D6081"/>
    <w:rsid w:val="003E18B2"/>
    <w:rsid w:val="003E193B"/>
    <w:rsid w:val="003E5C9B"/>
    <w:rsid w:val="003F18F8"/>
    <w:rsid w:val="004062CD"/>
    <w:rsid w:val="004A541C"/>
    <w:rsid w:val="004B5337"/>
    <w:rsid w:val="004C227B"/>
    <w:rsid w:val="004D3DC6"/>
    <w:rsid w:val="004E3B08"/>
    <w:rsid w:val="004E6FB1"/>
    <w:rsid w:val="00524244"/>
    <w:rsid w:val="005302E8"/>
    <w:rsid w:val="00541797"/>
    <w:rsid w:val="00567D93"/>
    <w:rsid w:val="00582221"/>
    <w:rsid w:val="0060104F"/>
    <w:rsid w:val="0062211E"/>
    <w:rsid w:val="00626110"/>
    <w:rsid w:val="006374C2"/>
    <w:rsid w:val="00637B43"/>
    <w:rsid w:val="00690D6C"/>
    <w:rsid w:val="006A7DA0"/>
    <w:rsid w:val="006B7B14"/>
    <w:rsid w:val="006C73F7"/>
    <w:rsid w:val="006E201B"/>
    <w:rsid w:val="006E3754"/>
    <w:rsid w:val="006E3FD7"/>
    <w:rsid w:val="00713E63"/>
    <w:rsid w:val="007323BC"/>
    <w:rsid w:val="00762EA0"/>
    <w:rsid w:val="00780802"/>
    <w:rsid w:val="0079312C"/>
    <w:rsid w:val="007A61F0"/>
    <w:rsid w:val="007E0796"/>
    <w:rsid w:val="007F5E4F"/>
    <w:rsid w:val="00821F3E"/>
    <w:rsid w:val="00835FE9"/>
    <w:rsid w:val="00846C5D"/>
    <w:rsid w:val="00892E34"/>
    <w:rsid w:val="008A123C"/>
    <w:rsid w:val="008F399F"/>
    <w:rsid w:val="008F7180"/>
    <w:rsid w:val="009079C6"/>
    <w:rsid w:val="009B5E2A"/>
    <w:rsid w:val="009C0073"/>
    <w:rsid w:val="009C1039"/>
    <w:rsid w:val="009D3404"/>
    <w:rsid w:val="009D5E80"/>
    <w:rsid w:val="009F42A2"/>
    <w:rsid w:val="009F4B6A"/>
    <w:rsid w:val="00A00A4A"/>
    <w:rsid w:val="00A01C14"/>
    <w:rsid w:val="00A15350"/>
    <w:rsid w:val="00A36325"/>
    <w:rsid w:val="00A46EE0"/>
    <w:rsid w:val="00A52813"/>
    <w:rsid w:val="00A55869"/>
    <w:rsid w:val="00A6690E"/>
    <w:rsid w:val="00A9583C"/>
    <w:rsid w:val="00AB0866"/>
    <w:rsid w:val="00AD3ED8"/>
    <w:rsid w:val="00AD73DD"/>
    <w:rsid w:val="00AE7C8E"/>
    <w:rsid w:val="00AF0CD9"/>
    <w:rsid w:val="00AF473C"/>
    <w:rsid w:val="00B102ED"/>
    <w:rsid w:val="00B11FA1"/>
    <w:rsid w:val="00B25CD6"/>
    <w:rsid w:val="00B27FCC"/>
    <w:rsid w:val="00B42A4E"/>
    <w:rsid w:val="00B83C60"/>
    <w:rsid w:val="00BB56D2"/>
    <w:rsid w:val="00BB772A"/>
    <w:rsid w:val="00BE3EDC"/>
    <w:rsid w:val="00BF212B"/>
    <w:rsid w:val="00C074DA"/>
    <w:rsid w:val="00C138A3"/>
    <w:rsid w:val="00C44242"/>
    <w:rsid w:val="00C55471"/>
    <w:rsid w:val="00C66DD8"/>
    <w:rsid w:val="00C775DD"/>
    <w:rsid w:val="00CA6BD9"/>
    <w:rsid w:val="00D639B9"/>
    <w:rsid w:val="00D63DF5"/>
    <w:rsid w:val="00D64D81"/>
    <w:rsid w:val="00D67019"/>
    <w:rsid w:val="00D72184"/>
    <w:rsid w:val="00D93DB6"/>
    <w:rsid w:val="00D95BEB"/>
    <w:rsid w:val="00D95CA8"/>
    <w:rsid w:val="00DD4BF5"/>
    <w:rsid w:val="00DE5F9F"/>
    <w:rsid w:val="00E17862"/>
    <w:rsid w:val="00E35A3C"/>
    <w:rsid w:val="00E81C7E"/>
    <w:rsid w:val="00EB54B0"/>
    <w:rsid w:val="00EC7F7D"/>
    <w:rsid w:val="00ED591E"/>
    <w:rsid w:val="00F11739"/>
    <w:rsid w:val="00F3417D"/>
    <w:rsid w:val="00F92BFF"/>
    <w:rsid w:val="00F94D6D"/>
    <w:rsid w:val="00F94E14"/>
    <w:rsid w:val="00F97C46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1FA1"/>
    <w:pPr>
      <w:keepNext/>
      <w:keepLines/>
      <w:numPr>
        <w:numId w:val="2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FA1"/>
    <w:pPr>
      <w:keepNext/>
      <w:keepLines/>
      <w:numPr>
        <w:ilvl w:val="1"/>
        <w:numId w:val="2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FA1"/>
    <w:pPr>
      <w:keepNext/>
      <w:keepLines/>
      <w:numPr>
        <w:ilvl w:val="2"/>
        <w:numId w:val="28"/>
      </w:numPr>
      <w:spacing w:before="120" w:after="120"/>
      <w:jc w:val="both"/>
      <w:outlineLvl w:val="2"/>
    </w:pPr>
    <w:rPr>
      <w:rFonts w:eastAsiaTheme="majorEastAsia" w:cstheme="majorBidi"/>
      <w:b/>
      <w:bCs/>
      <w:color w:val="4F81BD" w:themeColor="accent1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FA1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FA1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FA1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FA1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FA1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FA1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D60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FA1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0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608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D608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D608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D60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D608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D60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D6081"/>
    <w:pPr>
      <w:numPr>
        <w:ilvl w:val="1"/>
      </w:numPr>
      <w:ind w:left="357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D6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6081"/>
    <w:rPr>
      <w:b/>
      <w:bCs/>
    </w:rPr>
  </w:style>
  <w:style w:type="character" w:styleId="aa">
    <w:name w:val="Emphasis"/>
    <w:basedOn w:val="a0"/>
    <w:uiPriority w:val="20"/>
    <w:qFormat/>
    <w:rsid w:val="003D6081"/>
    <w:rPr>
      <w:i/>
      <w:iCs/>
    </w:rPr>
  </w:style>
  <w:style w:type="paragraph" w:styleId="ab">
    <w:name w:val="No Spacing"/>
    <w:uiPriority w:val="1"/>
    <w:qFormat/>
    <w:rsid w:val="003D6081"/>
  </w:style>
  <w:style w:type="paragraph" w:styleId="21">
    <w:name w:val="Quote"/>
    <w:basedOn w:val="a"/>
    <w:next w:val="a"/>
    <w:link w:val="22"/>
    <w:uiPriority w:val="29"/>
    <w:qFormat/>
    <w:rsid w:val="003D60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60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6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60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60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60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60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60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60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6081"/>
    <w:pPr>
      <w:outlineLvl w:val="9"/>
    </w:pPr>
  </w:style>
  <w:style w:type="character" w:styleId="af4">
    <w:name w:val="Hyperlink"/>
    <w:aliases w:val="Моё оглавление 1"/>
    <w:basedOn w:val="a0"/>
    <w:uiPriority w:val="99"/>
    <w:rsid w:val="00FC7A1F"/>
    <w:rPr>
      <w:rFonts w:ascii="Times New Roman" w:hAnsi="Times New Roman" w:hint="default"/>
      <w:strike w:val="0"/>
      <w:dstrike w:val="0"/>
      <w:color w:val="0000CC"/>
      <w:sz w:val="24"/>
      <w:szCs w:val="18"/>
      <w:u w:val="none"/>
      <w:effect w:val="none"/>
    </w:rPr>
  </w:style>
  <w:style w:type="paragraph" w:styleId="af5">
    <w:name w:val="header"/>
    <w:basedOn w:val="a"/>
    <w:link w:val="af6"/>
    <w:uiPriority w:val="99"/>
    <w:unhideWhenUsed/>
    <w:rsid w:val="00D72184"/>
    <w:pPr>
      <w:tabs>
        <w:tab w:val="center" w:pos="4677"/>
        <w:tab w:val="right" w:pos="9355"/>
      </w:tabs>
      <w:jc w:val="center"/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D72184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semiHidden/>
    <w:unhideWhenUsed/>
    <w:rsid w:val="00023E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23EC3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mmon">
    <w:name w:val="common"/>
    <w:basedOn w:val="a"/>
    <w:rsid w:val="00DD4BF5"/>
    <w:pPr>
      <w:spacing w:before="100" w:after="100"/>
      <w:ind w:left="100" w:right="100" w:firstLine="300"/>
      <w:jc w:val="both"/>
    </w:pPr>
    <w:rPr>
      <w:rFonts w:ascii="Book Antiqua" w:eastAsia="Times New Roman" w:hAnsi="Book Antiqua" w:cs="Times New Roman"/>
      <w:color w:val="000000"/>
      <w:sz w:val="22"/>
      <w:lang w:val="ru-RU" w:eastAsia="ru-RU" w:bidi="ar-SA"/>
    </w:rPr>
  </w:style>
  <w:style w:type="paragraph" w:customStyle="1" w:styleId="chapter">
    <w:name w:val="chapter"/>
    <w:basedOn w:val="a"/>
    <w:rsid w:val="00DD4BF5"/>
    <w:pPr>
      <w:spacing w:before="100" w:after="100"/>
      <w:ind w:left="100" w:right="100" w:firstLine="300"/>
    </w:pPr>
    <w:rPr>
      <w:rFonts w:ascii="Verdana" w:eastAsia="Times New Roman" w:hAnsi="Verdana" w:cs="Times New Roman"/>
      <w:b/>
      <w:bCs/>
      <w:color w:val="333333"/>
      <w:sz w:val="22"/>
      <w:lang w:val="ru-RU" w:eastAsia="ru-RU" w:bidi="ar-SA"/>
    </w:rPr>
  </w:style>
  <w:style w:type="character" w:customStyle="1" w:styleId="uppercase1">
    <w:name w:val="uppercase1"/>
    <w:basedOn w:val="a0"/>
    <w:rsid w:val="00DD4BF5"/>
    <w:rPr>
      <w:caps/>
    </w:rPr>
  </w:style>
  <w:style w:type="paragraph" w:styleId="af9">
    <w:name w:val="Balloon Text"/>
    <w:basedOn w:val="a"/>
    <w:link w:val="afa"/>
    <w:uiPriority w:val="99"/>
    <w:semiHidden/>
    <w:unhideWhenUsed/>
    <w:rsid w:val="00DD4BF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aya.ru/idea/18/?print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aya.ru/idea/18/142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avaya.ru/expertopinion/393/142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7407</Characters>
  <Application>Microsoft Office Word</Application>
  <DocSecurity>0</DocSecurity>
  <Lines>61</Lines>
  <Paragraphs>17</Paragraphs>
  <ScaleCrop>false</ScaleCrop>
  <Company>FHU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Майоров</dc:creator>
  <cp:keywords/>
  <dc:description/>
  <cp:lastModifiedBy>Иван Майоров</cp:lastModifiedBy>
  <cp:revision>2</cp:revision>
  <dcterms:created xsi:type="dcterms:W3CDTF">2007-11-08T14:30:00Z</dcterms:created>
  <dcterms:modified xsi:type="dcterms:W3CDTF">2007-11-08T14:32:00Z</dcterms:modified>
</cp:coreProperties>
</file>